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6E7FF4" w:rsidRDefault="001F573E" w:rsidP="008E6651">
      <w:pPr>
        <w:jc w:val="both"/>
        <w:rPr>
          <w:rFonts w:ascii="Times New Roman" w:hAnsi="Times New Roman"/>
          <w:b/>
        </w:rPr>
      </w:pPr>
      <w:r w:rsidRPr="006E7FF4">
        <w:rPr>
          <w:rFonts w:ascii="Times New Roman" w:hAnsi="Times New Roman"/>
          <w:b/>
          <w:lang w:val="en-US"/>
        </w:rPr>
        <w:t>Description of cargo</w:t>
      </w:r>
    </w:p>
    <w:p w:rsidR="001F573E" w:rsidRPr="006E7FF4"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6E7FF4" w:rsidTr="00212D4C">
        <w:trPr>
          <w:trHeight w:val="826"/>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Quantity</w:t>
            </w:r>
          </w:p>
        </w:tc>
        <w:tc>
          <w:tcPr>
            <w:tcW w:w="7361" w:type="dxa"/>
          </w:tcPr>
          <w:p w:rsidR="00CA2116" w:rsidRPr="006E7FF4" w:rsidRDefault="0076399F" w:rsidP="00A92938">
            <w:pPr>
              <w:rPr>
                <w:rFonts w:ascii="Times New Roman" w:hAnsi="Times New Roman"/>
                <w:lang w:val="en-US"/>
              </w:rPr>
            </w:pPr>
            <w:r>
              <w:rPr>
                <w:rFonts w:ascii="Times New Roman" w:hAnsi="Times New Roman"/>
                <w:lang w:val="en-US"/>
              </w:rPr>
              <w:t>1</w:t>
            </w:r>
            <w:r w:rsidR="00A92938">
              <w:rPr>
                <w:rFonts w:ascii="Times New Roman" w:hAnsi="Times New Roman"/>
              </w:rPr>
              <w:t>0</w:t>
            </w:r>
            <w:r w:rsidR="00400AC3" w:rsidRPr="006E7FF4">
              <w:rPr>
                <w:rFonts w:ascii="Times New Roman" w:hAnsi="Times New Roman"/>
                <w:lang w:val="en-US"/>
              </w:rPr>
              <w:t>0</w:t>
            </w:r>
            <w:r w:rsidR="008F5FD1" w:rsidRPr="006E7FF4">
              <w:rPr>
                <w:rFonts w:ascii="Times New Roman" w:hAnsi="Times New Roman"/>
                <w:lang w:val="en-US"/>
              </w:rPr>
              <w:t xml:space="preserve"> </w:t>
            </w:r>
            <w:r w:rsidR="00400AC3" w:rsidRPr="006E7FF4">
              <w:rPr>
                <w:rFonts w:ascii="Times New Roman" w:hAnsi="Times New Roman"/>
                <w:lang w:val="en-US"/>
              </w:rPr>
              <w:t>000</w:t>
            </w:r>
            <w:r w:rsidR="008F5FD1" w:rsidRPr="006E7FF4">
              <w:rPr>
                <w:rFonts w:ascii="Times New Roman" w:hAnsi="Times New Roman"/>
                <w:lang w:val="en-US"/>
              </w:rPr>
              <w:t xml:space="preserve"> </w:t>
            </w:r>
            <w:r w:rsidR="00126638" w:rsidRPr="006E7FF4">
              <w:rPr>
                <w:rFonts w:ascii="Times New Roman" w:hAnsi="Times New Roman"/>
                <w:lang w:val="en-US"/>
              </w:rPr>
              <w:t xml:space="preserve"> </w:t>
            </w:r>
            <w:r w:rsidR="008E6651" w:rsidRPr="006E7FF4">
              <w:rPr>
                <w:rFonts w:ascii="Times New Roman" w:hAnsi="Times New Roman"/>
                <w:lang w:val="en-US"/>
              </w:rPr>
              <w:t xml:space="preserve">mt </w:t>
            </w:r>
            <w:r w:rsidR="00AD06C9" w:rsidRPr="006E7FF4">
              <w:rPr>
                <w:rFonts w:ascii="Times New Roman" w:hAnsi="Times New Roman"/>
                <w:lang w:val="en-US"/>
              </w:rPr>
              <w:t xml:space="preserve">+/- </w:t>
            </w:r>
            <w:r w:rsidR="00235CEA" w:rsidRPr="006E7FF4">
              <w:rPr>
                <w:rFonts w:ascii="Times New Roman" w:hAnsi="Times New Roman"/>
                <w:lang w:val="en-US"/>
              </w:rPr>
              <w:t>5</w:t>
            </w:r>
            <w:r w:rsidR="00AD06C9" w:rsidRPr="006E7FF4">
              <w:rPr>
                <w:rFonts w:ascii="Times New Roman" w:hAnsi="Times New Roman"/>
                <w:lang w:val="en-US"/>
              </w:rPr>
              <w:t xml:space="preserve">% </w:t>
            </w:r>
            <w:r w:rsidR="00400AC3" w:rsidRPr="006E7FF4">
              <w:rPr>
                <w:rFonts w:ascii="Times New Roman" w:hAnsi="Times New Roman"/>
                <w:lang w:val="en-US"/>
              </w:rPr>
              <w:t>at Seller’s option</w:t>
            </w:r>
            <w:r w:rsidR="00CA2116" w:rsidRPr="006E7FF4">
              <w:rPr>
                <w:rFonts w:ascii="Times New Roman" w:hAnsi="Times New Roman"/>
                <w:lang w:val="en-US"/>
              </w:rPr>
              <w:t>.</w:t>
            </w:r>
          </w:p>
        </w:tc>
      </w:tr>
      <w:tr w:rsidR="008E6651" w:rsidRPr="006E7FF4" w:rsidTr="00212D4C">
        <w:trPr>
          <w:trHeight w:val="658"/>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Contract party</w:t>
            </w:r>
          </w:p>
        </w:tc>
        <w:tc>
          <w:tcPr>
            <w:tcW w:w="7361" w:type="dxa"/>
          </w:tcPr>
          <w:p w:rsidR="00FA322E" w:rsidRPr="006E7FF4" w:rsidRDefault="00A90C89" w:rsidP="00EF38EA">
            <w:pPr>
              <w:rPr>
                <w:rFonts w:ascii="Times New Roman" w:hAnsi="Times New Roman"/>
                <w:color w:val="000000"/>
                <w:spacing w:val="-8"/>
                <w:lang w:val="en-US" w:eastAsia="en-US"/>
              </w:rPr>
            </w:pPr>
            <w:r w:rsidRPr="006E7FF4">
              <w:rPr>
                <w:rFonts w:ascii="Times New Roman" w:hAnsi="Times New Roman"/>
                <w:color w:val="000000"/>
                <w:spacing w:val="-3"/>
                <w:lang w:val="en-US" w:eastAsia="en-US"/>
              </w:rPr>
              <w:t>JSC “</w:t>
            </w:r>
            <w:r w:rsidR="00334011" w:rsidRPr="006E7FF4">
              <w:rPr>
                <w:rFonts w:ascii="Times New Roman" w:hAnsi="Times New Roman"/>
                <w:color w:val="000000"/>
                <w:spacing w:val="-3"/>
                <w:lang w:val="en-US" w:eastAsia="en-US"/>
              </w:rPr>
              <w:t>TATNEFT</w:t>
            </w:r>
            <w:r w:rsidRPr="006E7FF4">
              <w:rPr>
                <w:rFonts w:ascii="Times New Roman" w:hAnsi="Times New Roman"/>
                <w:color w:val="000000"/>
                <w:spacing w:val="-3"/>
                <w:lang w:val="en-US" w:eastAsia="en-US"/>
              </w:rPr>
              <w:t>”</w:t>
            </w:r>
          </w:p>
        </w:tc>
      </w:tr>
      <w:tr w:rsidR="008E6651" w:rsidRPr="006E7FF4" w:rsidTr="00212D4C">
        <w:trPr>
          <w:trHeight w:val="461"/>
        </w:trPr>
        <w:tc>
          <w:tcPr>
            <w:tcW w:w="2006" w:type="dxa"/>
          </w:tcPr>
          <w:p w:rsidR="008E6651" w:rsidRPr="006E7FF4" w:rsidRDefault="006B4C6F" w:rsidP="00CA4624">
            <w:pPr>
              <w:rPr>
                <w:rFonts w:ascii="Times New Roman" w:hAnsi="Times New Roman"/>
                <w:b/>
                <w:lang w:val="en-US"/>
              </w:rPr>
            </w:pPr>
            <w:r>
              <w:rPr>
                <w:rFonts w:ascii="Times New Roman" w:hAnsi="Times New Roman"/>
                <w:b/>
                <w:lang w:val="en-US"/>
              </w:rPr>
              <w:t>Contract</w:t>
            </w:r>
            <w:r w:rsidR="008E6651" w:rsidRPr="006E7FF4">
              <w:rPr>
                <w:rFonts w:ascii="Times New Roman" w:hAnsi="Times New Roman"/>
                <w:b/>
                <w:lang w:val="en-US"/>
              </w:rPr>
              <w:t xml:space="preserve"> period</w:t>
            </w:r>
          </w:p>
        </w:tc>
        <w:tc>
          <w:tcPr>
            <w:tcW w:w="7361" w:type="dxa"/>
          </w:tcPr>
          <w:p w:rsidR="008E6651" w:rsidRPr="008F1A69" w:rsidRDefault="00FC258D" w:rsidP="002E336B">
            <w:pPr>
              <w:rPr>
                <w:rFonts w:ascii="Times New Roman" w:hAnsi="Times New Roman"/>
                <w:highlight w:val="yellow"/>
              </w:rPr>
            </w:pPr>
            <w:r>
              <w:rPr>
                <w:rFonts w:ascii="Times New Roman" w:hAnsi="Times New Roman"/>
              </w:rPr>
              <w:t xml:space="preserve">01 </w:t>
            </w:r>
            <w:r w:rsidR="002E336B">
              <w:rPr>
                <w:rFonts w:ascii="Times New Roman" w:hAnsi="Times New Roman"/>
                <w:lang w:val="en-US"/>
              </w:rPr>
              <w:t>March</w:t>
            </w:r>
            <w:r w:rsidR="00A90C89" w:rsidRPr="006E7FF4">
              <w:rPr>
                <w:rFonts w:ascii="Times New Roman" w:hAnsi="Times New Roman"/>
                <w:lang w:val="en-US"/>
              </w:rPr>
              <w:t xml:space="preserve"> 2020</w:t>
            </w:r>
            <w:r w:rsidR="008E6651" w:rsidRPr="006E7FF4">
              <w:rPr>
                <w:rFonts w:ascii="Times New Roman" w:hAnsi="Times New Roman"/>
                <w:lang w:val="en-US"/>
              </w:rPr>
              <w:t xml:space="preserve"> </w:t>
            </w:r>
            <w:r>
              <w:rPr>
                <w:rFonts w:ascii="Times New Roman" w:hAnsi="Times New Roman"/>
              </w:rPr>
              <w:t>–</w:t>
            </w:r>
            <w:r w:rsidR="008F1A69">
              <w:rPr>
                <w:rFonts w:ascii="Times New Roman" w:hAnsi="Times New Roman"/>
              </w:rPr>
              <w:t xml:space="preserve"> </w:t>
            </w:r>
            <w:r w:rsidR="0076399F">
              <w:rPr>
                <w:rFonts w:ascii="Times New Roman" w:hAnsi="Times New Roman"/>
                <w:lang w:val="en-US"/>
              </w:rPr>
              <w:t>3</w:t>
            </w:r>
            <w:r w:rsidR="0076399F">
              <w:rPr>
                <w:rFonts w:ascii="Times New Roman" w:hAnsi="Times New Roman"/>
              </w:rPr>
              <w:t xml:space="preserve">1 </w:t>
            </w:r>
            <w:r w:rsidR="002E336B">
              <w:rPr>
                <w:rFonts w:ascii="Times New Roman" w:hAnsi="Times New Roman"/>
                <w:lang w:val="en-US"/>
              </w:rPr>
              <w:t>March</w:t>
            </w:r>
            <w:r w:rsidR="0076399F" w:rsidRPr="006E7FF4">
              <w:rPr>
                <w:rFonts w:ascii="Times New Roman" w:hAnsi="Times New Roman"/>
                <w:lang w:val="en-US"/>
              </w:rPr>
              <w:t xml:space="preserve"> 2020</w:t>
            </w:r>
          </w:p>
        </w:tc>
      </w:tr>
      <w:tr w:rsidR="008E6651" w:rsidRPr="002E336B" w:rsidTr="00212D4C">
        <w:trPr>
          <w:trHeight w:val="412"/>
        </w:trPr>
        <w:tc>
          <w:tcPr>
            <w:tcW w:w="2006" w:type="dxa"/>
          </w:tcPr>
          <w:p w:rsidR="008E6651" w:rsidRPr="008F1A69" w:rsidRDefault="001F573E" w:rsidP="00CA4624">
            <w:pPr>
              <w:rPr>
                <w:rFonts w:ascii="Times New Roman" w:hAnsi="Times New Roman"/>
                <w:b/>
                <w:lang w:val="en-US"/>
              </w:rPr>
            </w:pPr>
            <w:r w:rsidRPr="006E7FF4">
              <w:rPr>
                <w:rFonts w:ascii="Times New Roman" w:hAnsi="Times New Roman"/>
                <w:b/>
                <w:lang w:val="en-US"/>
              </w:rPr>
              <w:t>Partial shipments</w:t>
            </w:r>
          </w:p>
        </w:tc>
        <w:tc>
          <w:tcPr>
            <w:tcW w:w="7361" w:type="dxa"/>
          </w:tcPr>
          <w:p w:rsidR="008E6651" w:rsidRPr="006E7FF4" w:rsidRDefault="008F1A69" w:rsidP="0076399F">
            <w:pPr>
              <w:rPr>
                <w:rFonts w:ascii="Times New Roman" w:hAnsi="Times New Roman"/>
                <w:lang w:val="en-US"/>
              </w:rPr>
            </w:pPr>
            <w:r>
              <w:rPr>
                <w:rFonts w:ascii="Times New Roman" w:hAnsi="Times New Roman"/>
                <w:lang w:val="en-US"/>
              </w:rPr>
              <w:t>Vessel</w:t>
            </w:r>
            <w:r w:rsidR="00A90C89" w:rsidRPr="006E7FF4">
              <w:rPr>
                <w:rFonts w:ascii="Times New Roman" w:hAnsi="Times New Roman"/>
                <w:lang w:val="en-US"/>
              </w:rPr>
              <w:t xml:space="preserve"> lot size</w:t>
            </w:r>
            <w:r>
              <w:rPr>
                <w:rFonts w:ascii="Times New Roman" w:hAnsi="Times New Roman"/>
                <w:lang w:val="en-US"/>
              </w:rPr>
              <w:t xml:space="preserve">: </w:t>
            </w:r>
            <w:r w:rsidR="0076399F">
              <w:rPr>
                <w:rFonts w:ascii="Times New Roman" w:hAnsi="Times New Roman"/>
                <w:lang w:val="en-US"/>
              </w:rPr>
              <w:t>10</w:t>
            </w:r>
            <w:r w:rsidRPr="006E7FF4">
              <w:rPr>
                <w:rFonts w:ascii="Times New Roman" w:hAnsi="Times New Roman"/>
                <w:lang w:val="en-US"/>
              </w:rPr>
              <w:t>0 000 MTs</w:t>
            </w:r>
            <w:r>
              <w:rPr>
                <w:rFonts w:ascii="Times New Roman" w:hAnsi="Times New Roman"/>
                <w:lang w:val="en-US"/>
              </w:rPr>
              <w:t xml:space="preserve"> </w:t>
            </w:r>
            <w:r w:rsidRPr="006E7FF4">
              <w:rPr>
                <w:rFonts w:ascii="Times New Roman" w:hAnsi="Times New Roman"/>
                <w:lang w:val="en-US"/>
              </w:rPr>
              <w:t>+/- 5% at Seller’s option.</w:t>
            </w:r>
          </w:p>
        </w:tc>
      </w:tr>
      <w:tr w:rsidR="001F573E" w:rsidRPr="002E336B" w:rsidTr="00212D4C">
        <w:trPr>
          <w:trHeight w:val="412"/>
        </w:trPr>
        <w:tc>
          <w:tcPr>
            <w:tcW w:w="2006" w:type="dxa"/>
          </w:tcPr>
          <w:p w:rsidR="001F573E" w:rsidRPr="006E7FF4" w:rsidRDefault="00FC258D" w:rsidP="00FC258D">
            <w:pPr>
              <w:rPr>
                <w:rFonts w:ascii="Times New Roman" w:hAnsi="Times New Roman"/>
                <w:b/>
                <w:lang w:val="en-US"/>
              </w:rPr>
            </w:pPr>
            <w:r w:rsidRPr="006E7FF4">
              <w:rPr>
                <w:rFonts w:ascii="Times New Roman" w:hAnsi="Times New Roman"/>
                <w:b/>
                <w:lang w:val="en-US"/>
              </w:rPr>
              <w:t xml:space="preserve">Product </w:t>
            </w:r>
          </w:p>
        </w:tc>
        <w:tc>
          <w:tcPr>
            <w:tcW w:w="7361" w:type="dxa"/>
          </w:tcPr>
          <w:p w:rsidR="001F573E" w:rsidRPr="00FC258D" w:rsidRDefault="0076399F" w:rsidP="0076399F">
            <w:pPr>
              <w:rPr>
                <w:rFonts w:ascii="Times New Roman" w:hAnsi="Times New Roman"/>
                <w:lang w:val="en-US"/>
              </w:rPr>
            </w:pPr>
            <w:r>
              <w:rPr>
                <w:rFonts w:ascii="Times New Roman" w:hAnsi="Times New Roman"/>
                <w:lang w:val="en-US"/>
              </w:rPr>
              <w:t>Crude oil</w:t>
            </w:r>
            <w:r w:rsidRPr="00ED7383">
              <w:rPr>
                <w:rFonts w:ascii="Times New Roman" w:hAnsi="Times New Roman"/>
                <w:lang w:val="en-US"/>
              </w:rPr>
              <w:t xml:space="preserve"> “Russian Export Blend Crude Oil” (REBCO)</w:t>
            </w:r>
          </w:p>
        </w:tc>
      </w:tr>
      <w:tr w:rsidR="008E6651" w:rsidRPr="00FC258D" w:rsidTr="00212D4C">
        <w:trPr>
          <w:trHeight w:val="424"/>
        </w:trPr>
        <w:tc>
          <w:tcPr>
            <w:tcW w:w="2006" w:type="dxa"/>
          </w:tcPr>
          <w:p w:rsidR="008E6651" w:rsidRPr="006E7FF4" w:rsidRDefault="00FC258D" w:rsidP="00CA4624">
            <w:pPr>
              <w:rPr>
                <w:rFonts w:ascii="Times New Roman" w:hAnsi="Times New Roman"/>
                <w:b/>
                <w:lang w:val="en-US"/>
              </w:rPr>
            </w:pPr>
            <w:r w:rsidRPr="006E7FF4">
              <w:rPr>
                <w:rFonts w:ascii="Times New Roman" w:hAnsi="Times New Roman"/>
                <w:b/>
                <w:lang w:val="en-US"/>
              </w:rPr>
              <w:t>Delivery terms</w:t>
            </w:r>
          </w:p>
        </w:tc>
        <w:tc>
          <w:tcPr>
            <w:tcW w:w="7361" w:type="dxa"/>
          </w:tcPr>
          <w:p w:rsidR="008E6651" w:rsidRPr="006E7FF4" w:rsidRDefault="00FC258D" w:rsidP="00FC258D">
            <w:pPr>
              <w:rPr>
                <w:rFonts w:ascii="Times New Roman" w:hAnsi="Times New Roman"/>
                <w:lang w:val="en-US"/>
              </w:rPr>
            </w:pPr>
            <w:r w:rsidRPr="006E7FF4">
              <w:rPr>
                <w:rFonts w:ascii="Times New Roman" w:hAnsi="Times New Roman"/>
                <w:lang w:val="en-US"/>
              </w:rPr>
              <w:t xml:space="preserve">FOB port </w:t>
            </w:r>
            <w:r>
              <w:rPr>
                <w:rFonts w:ascii="Times New Roman" w:hAnsi="Times New Roman"/>
                <w:lang w:val="en-US"/>
              </w:rPr>
              <w:t>Primorsk</w:t>
            </w:r>
            <w:r w:rsidRPr="006E7FF4">
              <w:rPr>
                <w:rFonts w:ascii="Times New Roman" w:hAnsi="Times New Roman"/>
                <w:lang w:val="en-US"/>
              </w:rPr>
              <w:t xml:space="preserve"> (Incoterms 2010)</w:t>
            </w:r>
            <w:r w:rsidRPr="006B5573">
              <w:rPr>
                <w:rFonts w:ascii="Times New Roman" w:hAnsi="Times New Roman"/>
                <w:lang w:val="en-US"/>
              </w:rPr>
              <w:t xml:space="preserve"> </w:t>
            </w:r>
          </w:p>
        </w:tc>
      </w:tr>
      <w:tr w:rsidR="008E6651" w:rsidRPr="002E336B" w:rsidTr="00212D4C">
        <w:trPr>
          <w:trHeight w:val="1012"/>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Contract</w:t>
            </w:r>
          </w:p>
        </w:tc>
        <w:tc>
          <w:tcPr>
            <w:tcW w:w="7361" w:type="dxa"/>
          </w:tcPr>
          <w:p w:rsidR="008E6651" w:rsidRPr="006E7FF4" w:rsidRDefault="008E6651" w:rsidP="006E7FF4">
            <w:pPr>
              <w:ind w:left="7" w:hanging="7"/>
              <w:rPr>
                <w:rFonts w:ascii="Times New Roman" w:hAnsi="Times New Roman"/>
                <w:color w:val="000000"/>
                <w:spacing w:val="-3"/>
                <w:lang w:val="en-US" w:eastAsia="en-US"/>
              </w:rPr>
            </w:pPr>
            <w:r w:rsidRPr="006E7FF4">
              <w:rPr>
                <w:rFonts w:ascii="Times New Roman" w:hAnsi="Times New Roman"/>
                <w:bCs/>
                <w:color w:val="000000"/>
                <w:spacing w:val="-8"/>
                <w:lang w:val="en-US" w:eastAsia="en-US"/>
              </w:rPr>
              <w:t xml:space="preserve">As </w:t>
            </w:r>
            <w:r w:rsidRPr="006E7FF4">
              <w:rPr>
                <w:rFonts w:ascii="Times New Roman" w:hAnsi="Times New Roman"/>
                <w:color w:val="000000"/>
                <w:spacing w:val="-8"/>
                <w:lang w:val="en-US" w:eastAsia="en-US"/>
              </w:rPr>
              <w:t xml:space="preserve">a mandatory condition for your participation in the oil purchase procedure, within the frames of the given offer, you should accept the main terms of export framework Contract, recommended by </w:t>
            </w:r>
            <w:r w:rsidRPr="006E7FF4">
              <w:rPr>
                <w:rFonts w:ascii="Times New Roman" w:hAnsi="Times New Roman"/>
                <w:color w:val="000000"/>
                <w:spacing w:val="-3"/>
                <w:lang w:val="en-US" w:eastAsia="en-US"/>
              </w:rPr>
              <w:t>«</w:t>
            </w:r>
            <w:r w:rsidR="00334011" w:rsidRPr="006E7FF4">
              <w:rPr>
                <w:rFonts w:ascii="Times New Roman" w:hAnsi="Times New Roman"/>
                <w:color w:val="000000"/>
                <w:spacing w:val="-3"/>
                <w:lang w:val="en-US" w:eastAsia="en-US"/>
              </w:rPr>
              <w:t xml:space="preserve">TATNEFT </w:t>
            </w:r>
            <w:r w:rsidRPr="006E7FF4">
              <w:rPr>
                <w:rFonts w:ascii="Times New Roman" w:hAnsi="Times New Roman"/>
                <w:color w:val="000000"/>
                <w:spacing w:val="-3"/>
                <w:lang w:val="en-US" w:eastAsia="en-US"/>
              </w:rPr>
              <w:t>»</w:t>
            </w:r>
            <w:r w:rsidR="00B44790" w:rsidRPr="006E7FF4">
              <w:rPr>
                <w:rFonts w:ascii="Times New Roman" w:hAnsi="Times New Roman"/>
                <w:color w:val="000000"/>
                <w:spacing w:val="-3"/>
                <w:lang w:val="en-US" w:eastAsia="en-US"/>
              </w:rPr>
              <w:t>.</w:t>
            </w:r>
          </w:p>
        </w:tc>
      </w:tr>
      <w:tr w:rsidR="008E6651" w:rsidRPr="002E336B" w:rsidTr="00212D4C">
        <w:trPr>
          <w:trHeight w:val="742"/>
        </w:trPr>
        <w:tc>
          <w:tcPr>
            <w:tcW w:w="2006" w:type="dxa"/>
          </w:tcPr>
          <w:p w:rsidR="008E6651" w:rsidRPr="006B5573" w:rsidRDefault="008E6651" w:rsidP="00CA4624">
            <w:pPr>
              <w:rPr>
                <w:rFonts w:ascii="Times New Roman" w:hAnsi="Times New Roman"/>
                <w:b/>
                <w:lang w:val="en-US"/>
              </w:rPr>
            </w:pPr>
            <w:r w:rsidRPr="006E7FF4">
              <w:rPr>
                <w:rFonts w:ascii="Times New Roman" w:hAnsi="Times New Roman"/>
                <w:b/>
                <w:lang w:val="en-US"/>
              </w:rPr>
              <w:t>Loading period</w:t>
            </w:r>
          </w:p>
        </w:tc>
        <w:tc>
          <w:tcPr>
            <w:tcW w:w="7361" w:type="dxa"/>
          </w:tcPr>
          <w:p w:rsidR="008E6651" w:rsidRPr="0076399F" w:rsidRDefault="0076399F" w:rsidP="002E336B">
            <w:pPr>
              <w:rPr>
                <w:rFonts w:ascii="Times New Roman" w:hAnsi="Times New Roman"/>
                <w:lang w:val="en-US"/>
              </w:rPr>
            </w:pPr>
            <w:r>
              <w:rPr>
                <w:rFonts w:ascii="Times New Roman" w:hAnsi="Times New Roman"/>
                <w:b/>
                <w:lang w:val="en-US"/>
              </w:rPr>
              <w:t>3</w:t>
            </w:r>
            <w:r>
              <w:rPr>
                <w:rFonts w:ascii="Times New Roman" w:hAnsi="Times New Roman"/>
                <w:b/>
                <w:vertAlign w:val="superscript"/>
                <w:lang w:val="en-US"/>
              </w:rPr>
              <w:t>rd</w:t>
            </w:r>
            <w:r>
              <w:rPr>
                <w:rFonts w:ascii="Times New Roman" w:hAnsi="Times New Roman"/>
                <w:b/>
                <w:lang w:val="en-US"/>
              </w:rPr>
              <w:t xml:space="preserve"> (third) decade of </w:t>
            </w:r>
            <w:r w:rsidR="002E336B">
              <w:rPr>
                <w:rFonts w:ascii="Times New Roman" w:hAnsi="Times New Roman"/>
                <w:b/>
                <w:lang w:val="en-US"/>
              </w:rPr>
              <w:t>March</w:t>
            </w:r>
            <w:r>
              <w:rPr>
                <w:rFonts w:ascii="Times New Roman" w:hAnsi="Times New Roman"/>
                <w:b/>
                <w:lang w:val="en-US"/>
              </w:rPr>
              <w:t xml:space="preserve"> 2020</w:t>
            </w:r>
          </w:p>
        </w:tc>
      </w:tr>
      <w:tr w:rsidR="008E6651" w:rsidRPr="006E7FF4" w:rsidTr="00212D4C">
        <w:trPr>
          <w:trHeight w:val="403"/>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Payment</w:t>
            </w:r>
          </w:p>
        </w:tc>
        <w:tc>
          <w:tcPr>
            <w:tcW w:w="7361" w:type="dxa"/>
          </w:tcPr>
          <w:p w:rsidR="008E6651" w:rsidRPr="006E7FF4" w:rsidRDefault="008E6651" w:rsidP="00CA4624">
            <w:pPr>
              <w:ind w:left="3540" w:hanging="3540"/>
              <w:rPr>
                <w:rFonts w:ascii="Times New Roman" w:hAnsi="Times New Roman"/>
                <w:lang w:val="en-US"/>
              </w:rPr>
            </w:pPr>
            <w:r w:rsidRPr="006E7FF4">
              <w:rPr>
                <w:rFonts w:ascii="Times New Roman" w:hAnsi="Times New Roman"/>
                <w:lang w:val="en-US"/>
              </w:rPr>
              <w:t>According to the Contract.</w:t>
            </w:r>
          </w:p>
        </w:tc>
      </w:tr>
      <w:tr w:rsidR="00B44790" w:rsidRPr="002E336B" w:rsidTr="00212D4C">
        <w:trPr>
          <w:trHeight w:val="301"/>
        </w:trPr>
        <w:tc>
          <w:tcPr>
            <w:tcW w:w="2006" w:type="dxa"/>
          </w:tcPr>
          <w:p w:rsidR="00B44790" w:rsidRPr="006E7FF4" w:rsidRDefault="00B44790" w:rsidP="00D84E3F">
            <w:pPr>
              <w:rPr>
                <w:rFonts w:ascii="Times New Roman" w:hAnsi="Times New Roman"/>
                <w:b/>
                <w:lang w:val="en-US"/>
              </w:rPr>
            </w:pPr>
            <w:r w:rsidRPr="006E7FF4">
              <w:rPr>
                <w:rFonts w:ascii="Times New Roman" w:hAnsi="Times New Roman"/>
                <w:b/>
                <w:lang w:val="en-US"/>
              </w:rPr>
              <w:t>Price formula</w:t>
            </w:r>
          </w:p>
        </w:tc>
        <w:tc>
          <w:tcPr>
            <w:tcW w:w="7361" w:type="dxa"/>
          </w:tcPr>
          <w:p w:rsidR="003A6892" w:rsidRDefault="003A6892" w:rsidP="003A6892">
            <w:pPr>
              <w:rPr>
                <w:rFonts w:ascii="Times New Roman" w:hAnsi="Times New Roman"/>
                <w:lang w:val="en-US"/>
              </w:rPr>
            </w:pPr>
            <w:r w:rsidRPr="003A6892">
              <w:rPr>
                <w:rFonts w:ascii="Times New Roman" w:hAnsi="Times New Roman"/>
                <w:b/>
                <w:bCs/>
                <w:lang w:val="en-US"/>
              </w:rPr>
              <w:t xml:space="preserve">P = B – </w:t>
            </w:r>
            <w:r w:rsidRPr="003A6892">
              <w:rPr>
                <w:rFonts w:ascii="Times New Roman" w:hAnsi="Times New Roman"/>
                <w:b/>
                <w:lang w:val="en-US"/>
              </w:rPr>
              <w:t>FR</w:t>
            </w:r>
            <w:r w:rsidRPr="003A6892">
              <w:rPr>
                <w:rFonts w:ascii="Times New Roman" w:hAnsi="Times New Roman"/>
                <w:b/>
                <w:bCs/>
                <w:lang w:val="en-US"/>
              </w:rPr>
              <w:t xml:space="preserve"> +</w:t>
            </w:r>
            <w:r w:rsidRPr="003A6892">
              <w:rPr>
                <w:rFonts w:ascii="Times New Roman" w:hAnsi="Times New Roman"/>
                <w:b/>
                <w:lang w:val="en-US"/>
              </w:rPr>
              <w:t xml:space="preserve"> SUR</w:t>
            </w:r>
            <w:r w:rsidRPr="003A6892">
              <w:rPr>
                <w:rFonts w:ascii="Times New Roman" w:hAnsi="Times New Roman"/>
                <w:b/>
                <w:bCs/>
                <w:lang w:val="en-US"/>
              </w:rPr>
              <w:t xml:space="preserve"> +</w:t>
            </w:r>
            <w:r w:rsidRPr="003A6892">
              <w:rPr>
                <w:rFonts w:ascii="Times New Roman" w:hAnsi="Times New Roman"/>
                <w:b/>
                <w:bCs/>
              </w:rPr>
              <w:t>Х</w:t>
            </w:r>
            <w:r>
              <w:rPr>
                <w:rFonts w:ascii="Times New Roman" w:hAnsi="Times New Roman"/>
                <w:b/>
                <w:bCs/>
                <w:lang w:val="en-US"/>
              </w:rPr>
              <w:t xml:space="preserve">, </w:t>
            </w:r>
            <w:r w:rsidRPr="003A6892">
              <w:rPr>
                <w:rFonts w:ascii="Times New Roman" w:hAnsi="Times New Roman"/>
                <w:lang w:val="en-US"/>
              </w:rPr>
              <w:t>(USD/bbl)</w:t>
            </w:r>
            <w:r>
              <w:rPr>
                <w:rFonts w:ascii="Times New Roman" w:hAnsi="Times New Roman"/>
                <w:lang w:val="en-US"/>
              </w:rPr>
              <w:t xml:space="preserve">, </w:t>
            </w:r>
            <w:r w:rsidRPr="003A6892">
              <w:rPr>
                <w:rFonts w:ascii="Times New Roman" w:hAnsi="Times New Roman"/>
                <w:lang w:val="en-US"/>
              </w:rPr>
              <w:t>where:</w:t>
            </w:r>
          </w:p>
          <w:p w:rsidR="003A6892" w:rsidRPr="003A6892" w:rsidRDefault="003A6892" w:rsidP="003A6892">
            <w:pPr>
              <w:rPr>
                <w:rFonts w:ascii="Times New Roman" w:hAnsi="Times New Roman"/>
                <w:lang w:val="en-US"/>
              </w:rPr>
            </w:pPr>
          </w:p>
          <w:p w:rsidR="003A6892" w:rsidRPr="003A6892" w:rsidRDefault="003A6892" w:rsidP="003A6892">
            <w:pPr>
              <w:jc w:val="both"/>
              <w:rPr>
                <w:rFonts w:ascii="Times New Roman" w:hAnsi="Times New Roman"/>
                <w:lang w:val="en-US"/>
              </w:rPr>
            </w:pPr>
            <w:r w:rsidRPr="003A6892">
              <w:rPr>
                <w:rFonts w:ascii="Times New Roman" w:hAnsi="Times New Roman"/>
                <w:b/>
                <w:u w:val="single"/>
                <w:lang w:val="en-US"/>
              </w:rPr>
              <w:t>B</w:t>
            </w:r>
            <w:r w:rsidRPr="003A6892">
              <w:rPr>
                <w:rFonts w:ascii="Times New Roman" w:hAnsi="Times New Roman"/>
                <w:b/>
                <w:u w:val="single"/>
                <w:lang w:val="en-US"/>
              </w:rPr>
              <w:t xml:space="preserve"> price basis</w:t>
            </w:r>
            <w:r w:rsidRPr="003A6892">
              <w:rPr>
                <w:rFonts w:ascii="Times New Roman" w:hAnsi="Times New Roman"/>
                <w:lang w:val="en-US"/>
              </w:rPr>
              <w:t xml:space="preserve"> – an average of five (5) mean consecutive Brent (DTD) quotations published in “Platt’s Crude Oil Marketwire” for March 2020.</w:t>
            </w:r>
          </w:p>
          <w:p w:rsidR="003A6892" w:rsidRPr="003A6892" w:rsidRDefault="003A6892" w:rsidP="003A6892">
            <w:pPr>
              <w:jc w:val="both"/>
              <w:rPr>
                <w:rFonts w:ascii="Times New Roman" w:hAnsi="Times New Roman"/>
                <w:lang w:val="en-US"/>
              </w:rPr>
            </w:pPr>
          </w:p>
          <w:p w:rsidR="003A6892" w:rsidRDefault="003A6892" w:rsidP="003A6892">
            <w:pPr>
              <w:jc w:val="both"/>
              <w:rPr>
                <w:rFonts w:ascii="Times New Roman" w:hAnsi="Times New Roman"/>
                <w:lang w:val="en-US"/>
              </w:rPr>
            </w:pPr>
            <w:r w:rsidRPr="003A6892">
              <w:rPr>
                <w:rFonts w:ascii="Times New Roman" w:hAnsi="Times New Roman"/>
                <w:b/>
                <w:u w:val="single"/>
                <w:lang w:val="en-US"/>
              </w:rPr>
              <w:t>FR</w:t>
            </w:r>
            <w:r>
              <w:rPr>
                <w:rFonts w:ascii="Times New Roman" w:hAnsi="Times New Roman"/>
                <w:b/>
                <w:lang w:val="en-US"/>
              </w:rPr>
              <w:t xml:space="preserve"> </w:t>
            </w:r>
            <w:r w:rsidRPr="003A6892">
              <w:rPr>
                <w:rFonts w:ascii="Times New Roman" w:hAnsi="Times New Roman"/>
                <w:lang w:val="en-US"/>
              </w:rPr>
              <w:t>–</w:t>
            </w:r>
            <w:r>
              <w:rPr>
                <w:rFonts w:ascii="Times New Roman" w:hAnsi="Times New Roman"/>
                <w:b/>
                <w:lang w:val="en-US"/>
              </w:rPr>
              <w:t xml:space="preserve"> </w:t>
            </w:r>
            <w:r w:rsidRPr="003A6892">
              <w:rPr>
                <w:rFonts w:ascii="Times New Roman" w:hAnsi="Times New Roman"/>
                <w:lang w:val="en-US"/>
              </w:rPr>
              <w:t>cost of freight</w:t>
            </w:r>
            <w:r>
              <w:rPr>
                <w:rFonts w:ascii="Times New Roman" w:hAnsi="Times New Roman"/>
                <w:lang w:val="en-US"/>
              </w:rPr>
              <w:t xml:space="preserve"> calculated as follows:</w:t>
            </w:r>
          </w:p>
          <w:p w:rsidR="003A6892" w:rsidRDefault="003A6892" w:rsidP="003A6892">
            <w:pPr>
              <w:jc w:val="both"/>
              <w:rPr>
                <w:rFonts w:ascii="Times New Roman" w:hAnsi="Times New Roman"/>
                <w:b/>
                <w:lang w:val="en-US"/>
              </w:rPr>
            </w:pPr>
          </w:p>
          <w:p w:rsidR="003A6892" w:rsidRPr="003A6892" w:rsidRDefault="003A6892" w:rsidP="003A6892">
            <w:pPr>
              <w:jc w:val="both"/>
              <w:rPr>
                <w:rFonts w:ascii="Times New Roman" w:hAnsi="Times New Roman"/>
                <w:lang w:val="en-US"/>
              </w:rPr>
            </w:pPr>
            <w:r>
              <w:rPr>
                <w:rFonts w:ascii="Times New Roman" w:hAnsi="Times New Roman"/>
                <w:b/>
                <w:lang w:val="en-US"/>
              </w:rPr>
              <w:t>FR</w:t>
            </w:r>
            <w:r w:rsidRPr="003A6892">
              <w:rPr>
                <w:rFonts w:ascii="Times New Roman" w:hAnsi="Times New Roman"/>
                <w:b/>
                <w:lang w:val="en-US"/>
              </w:rPr>
              <w:t xml:space="preserve"> = FPR + RTC +PTC, </w:t>
            </w:r>
            <w:r w:rsidRPr="003A6892">
              <w:rPr>
                <w:rFonts w:ascii="Times New Roman" w:hAnsi="Times New Roman"/>
                <w:lang w:val="en-US"/>
              </w:rPr>
              <w:t>where:</w:t>
            </w:r>
          </w:p>
          <w:p w:rsidR="003A6892" w:rsidRPr="003A6892" w:rsidRDefault="003A6892" w:rsidP="003A6892">
            <w:pPr>
              <w:pStyle w:val="AODocTxtL1"/>
              <w:tabs>
                <w:tab w:val="clear" w:pos="1118"/>
              </w:tabs>
              <w:spacing w:before="0" w:line="240" w:lineRule="auto"/>
              <w:ind w:left="0" w:firstLine="0"/>
              <w:rPr>
                <w:sz w:val="24"/>
                <w:szCs w:val="24"/>
                <w:lang w:val="en-US"/>
              </w:rPr>
            </w:pPr>
            <w:r w:rsidRPr="003A6892">
              <w:rPr>
                <w:b/>
                <w:sz w:val="24"/>
                <w:szCs w:val="24"/>
                <w:lang w:val="en-US"/>
              </w:rPr>
              <w:t>FPR</w:t>
            </w:r>
            <w:r w:rsidRPr="003A6892">
              <w:rPr>
                <w:sz w:val="24"/>
                <w:szCs w:val="24"/>
                <w:lang w:val="en-US"/>
              </w:rPr>
              <w:t xml:space="preserve"> – cost of freight for the route port of Primorsk/Ust-Luga – port of Rotterdam calculated as average of mean values of fixed rates of New World-Wide Tanker Nominal Freight Scale “Worldscale” for the year of delivery for voyages port of Primorsk port of Rotterdam (Great Belt Laden &amp; Ballast) multiplied by the rate calculated as average of available Worldscale rate quotations for 100 kt deadweight in Dirty Tankers for Balt/UKC published in the Platt’s Dirty Tankerwire for the following quotation period:</w:t>
            </w:r>
          </w:p>
          <w:p w:rsidR="003A6892" w:rsidRDefault="003A6892" w:rsidP="003A6892">
            <w:pPr>
              <w:jc w:val="both"/>
              <w:rPr>
                <w:rFonts w:ascii="Times New Roman" w:hAnsi="Times New Roman"/>
                <w:lang w:val="en-US"/>
              </w:rPr>
            </w:pPr>
            <w:r w:rsidRPr="003A6892">
              <w:rPr>
                <w:rFonts w:ascii="Times New Roman" w:hAnsi="Times New Roman"/>
                <w:lang w:val="en-US"/>
              </w:rPr>
              <w:t>- 3 (three) consecutive quotations, starting from the 15th (fifteenth) calendar day until the first day of the agreed position, the first day of the agreed position is considered to be "day zero”.</w:t>
            </w:r>
          </w:p>
          <w:p w:rsidR="003A6892" w:rsidRPr="003A6892" w:rsidRDefault="003A6892" w:rsidP="003A6892">
            <w:pPr>
              <w:jc w:val="both"/>
              <w:rPr>
                <w:rFonts w:ascii="Times New Roman" w:hAnsi="Times New Roman"/>
                <w:lang w:val="en-US"/>
              </w:rPr>
            </w:pPr>
            <w:r w:rsidRPr="003A6892">
              <w:rPr>
                <w:rFonts w:ascii="Times New Roman" w:hAnsi="Times New Roman"/>
                <w:lang w:val="en-US"/>
              </w:rPr>
              <w:lastRenderedPageBreak/>
              <w:t>To calculate the freight value (in US Dollars per barrel), the actual conversion rate shall be used based on the oil density indicated in the Certificate of Quality of the vessel’s lot of oil.</w:t>
            </w:r>
          </w:p>
          <w:p w:rsidR="003A6892" w:rsidRPr="003A6892" w:rsidRDefault="003A6892" w:rsidP="003A6892">
            <w:pPr>
              <w:jc w:val="both"/>
              <w:rPr>
                <w:rFonts w:ascii="Times New Roman" w:hAnsi="Times New Roman"/>
                <w:lang w:val="en-US"/>
              </w:rPr>
            </w:pPr>
            <w:r w:rsidRPr="003A6892">
              <w:rPr>
                <w:rFonts w:ascii="Times New Roman" w:hAnsi="Times New Roman"/>
                <w:b/>
                <w:lang w:val="en-US"/>
              </w:rPr>
              <w:t>RTC</w:t>
            </w:r>
            <w:r w:rsidRPr="003A6892">
              <w:rPr>
                <w:rFonts w:ascii="Times New Roman" w:hAnsi="Times New Roman"/>
                <w:lang w:val="en-US"/>
              </w:rPr>
              <w:t xml:space="preserve"> – average value of Rotterdam port dues calculated as of the date of signing the Contract and equal to 0.12 USD/bbl.</w:t>
            </w:r>
          </w:p>
          <w:p w:rsidR="003A6892" w:rsidRPr="003A6892" w:rsidRDefault="003A6892" w:rsidP="003A6892">
            <w:pPr>
              <w:jc w:val="both"/>
              <w:rPr>
                <w:rFonts w:ascii="Times New Roman" w:hAnsi="Times New Roman"/>
                <w:lang w:val="en-US"/>
              </w:rPr>
            </w:pPr>
            <w:r w:rsidRPr="003A6892">
              <w:rPr>
                <w:rFonts w:ascii="Times New Roman" w:hAnsi="Times New Roman"/>
                <w:b/>
                <w:lang w:val="en-US"/>
              </w:rPr>
              <w:t>PTC</w:t>
            </w:r>
            <w:r w:rsidRPr="003A6892">
              <w:rPr>
                <w:rFonts w:ascii="Times New Roman" w:hAnsi="Times New Roman"/>
                <w:lang w:val="en-US"/>
              </w:rPr>
              <w:t xml:space="preserve"> – average value of Primorsk/Ust-Luga port dues (tug and icebreaker), equal to 0.05 USD/bbl. Value of PTC can be changed upon mutual written consent of the Parties in accordance with current tariffs.</w:t>
            </w:r>
          </w:p>
          <w:p w:rsidR="003A6892" w:rsidRPr="003A6892" w:rsidRDefault="003A6892" w:rsidP="003A6892">
            <w:pPr>
              <w:jc w:val="both"/>
              <w:rPr>
                <w:rFonts w:ascii="Times New Roman" w:hAnsi="Times New Roman"/>
                <w:b/>
                <w:caps/>
                <w:lang w:val="en-US"/>
              </w:rPr>
            </w:pPr>
            <w:r w:rsidRPr="003A6892">
              <w:rPr>
                <w:rFonts w:ascii="Times New Roman" w:hAnsi="Times New Roman"/>
                <w:b/>
                <w:u w:val="single"/>
                <w:lang w:val="en-US"/>
              </w:rPr>
              <w:t>SUR</w:t>
            </w:r>
            <w:r w:rsidRPr="003A6892">
              <w:rPr>
                <w:rFonts w:ascii="Times New Roman" w:hAnsi="Times New Roman"/>
                <w:b/>
                <w:lang w:val="en-US"/>
              </w:rPr>
              <w:t xml:space="preserve"> – </w:t>
            </w:r>
            <w:r w:rsidRPr="003A6892">
              <w:rPr>
                <w:rFonts w:ascii="Times New Roman" w:hAnsi="Times New Roman"/>
                <w:lang w:val="en-US"/>
              </w:rPr>
              <w:t>market differential equal to the average of high and low quotations of “Spread vs fwd DTD Brent” published in “Platt’s Crude Oil Marketwire” in “Ural (Rotterdam)” line for the following period:</w:t>
            </w:r>
          </w:p>
          <w:p w:rsidR="00B44790" w:rsidRPr="003A6892" w:rsidRDefault="003A6892" w:rsidP="003A6892">
            <w:pPr>
              <w:jc w:val="both"/>
              <w:rPr>
                <w:rFonts w:ascii="Times New Roman" w:hAnsi="Times New Roman"/>
              </w:rPr>
            </w:pPr>
            <w:r w:rsidRPr="003A6892">
              <w:rPr>
                <w:rFonts w:ascii="Times New Roman" w:hAnsi="Times New Roman"/>
                <w:lang w:val="en-US"/>
              </w:rPr>
              <w:t>-3 (three) consecutive quotations, starting from the 15th (fifteenth) calendar day until the first day of the agreed position, the first day of the agreed position is considered to be "day zero”.</w:t>
            </w:r>
            <w:bookmarkStart w:id="0" w:name="_GoBack"/>
            <w:bookmarkEnd w:id="0"/>
          </w:p>
        </w:tc>
      </w:tr>
      <w:tr w:rsidR="00212D4C" w:rsidRPr="002E336B"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6E7FF4" w:rsidRDefault="00A90C89" w:rsidP="00E16235">
            <w:pPr>
              <w:rPr>
                <w:rFonts w:ascii="Times New Roman" w:hAnsi="Times New Roman"/>
                <w:b/>
                <w:lang w:val="en-US"/>
              </w:rPr>
            </w:pPr>
            <w:r w:rsidRPr="006E7FF4">
              <w:rPr>
                <w:rFonts w:ascii="Times New Roman" w:hAnsi="Times New Roman"/>
                <w:b/>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FC258D" w:rsidRDefault="003A6892" w:rsidP="00212D4C">
            <w:pPr>
              <w:rPr>
                <w:rFonts w:ascii="Times New Roman" w:hAnsi="Times New Roman"/>
                <w:lang w:val="en-US"/>
              </w:rPr>
            </w:pPr>
            <w:r>
              <w:rPr>
                <w:rFonts w:ascii="Times New Roman" w:hAnsi="Times New Roman"/>
                <w:lang w:val="en-US"/>
              </w:rPr>
              <w:t>X - premium</w:t>
            </w:r>
          </w:p>
        </w:tc>
      </w:tr>
    </w:tbl>
    <w:p w:rsidR="001F573E" w:rsidRPr="006E7FF4" w:rsidRDefault="001F573E" w:rsidP="00A21B4B">
      <w:pPr>
        <w:jc w:val="both"/>
        <w:rPr>
          <w:rFonts w:ascii="Times New Roman" w:hAnsi="Times New Roman"/>
          <w:b/>
          <w:lang w:val="en-US"/>
        </w:rPr>
      </w:pPr>
    </w:p>
    <w:p w:rsidR="00FB285F" w:rsidRPr="006E7FF4" w:rsidRDefault="00FB285F" w:rsidP="00A21B4B">
      <w:pPr>
        <w:jc w:val="both"/>
        <w:rPr>
          <w:rFonts w:ascii="Times New Roman" w:hAnsi="Times New Roman"/>
          <w:lang w:val="en-US"/>
        </w:rPr>
      </w:pPr>
    </w:p>
    <w:sectPr w:rsidR="00FB285F" w:rsidRPr="006E7FF4" w:rsidSect="00842425">
      <w:headerReference w:type="default" r:id="rId7"/>
      <w:footerReference w:type="default" r:id="rId8"/>
      <w:headerReference w:type="first" r:id="rId9"/>
      <w:footerReference w:type="first" r:id="rId10"/>
      <w:pgSz w:w="11906" w:h="16838" w:code="9"/>
      <w:pgMar w:top="1418" w:right="851"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D7" w:rsidRDefault="00652DD7">
      <w:r>
        <w:separator/>
      </w:r>
    </w:p>
  </w:endnote>
  <w:endnote w:type="continuationSeparator" w:id="0">
    <w:p w:rsidR="00652DD7" w:rsidRDefault="006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53D6C7BF-2692-4C23-8484-12B0F6306E53}"/>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3A6892">
      <w:rPr>
        <w:rFonts w:eastAsia="Calibri" w:cs="Tahoma"/>
        <w:noProof/>
        <w:sz w:val="12"/>
        <w:szCs w:val="12"/>
        <w:lang w:eastAsia="en-US"/>
      </w:rPr>
      <w:t>18.02.2020 15:56</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D7" w:rsidRDefault="00652DD7">
      <w:r>
        <w:separator/>
      </w:r>
    </w:p>
  </w:footnote>
  <w:footnote w:type="continuationSeparator" w:id="0">
    <w:p w:rsidR="00652DD7" w:rsidRDefault="006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3A6892">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51"/>
    <w:rsid w:val="000033FA"/>
    <w:rsid w:val="000268F4"/>
    <w:rsid w:val="00033EEF"/>
    <w:rsid w:val="00070CAF"/>
    <w:rsid w:val="000A3E02"/>
    <w:rsid w:val="000B79B4"/>
    <w:rsid w:val="000C4075"/>
    <w:rsid w:val="000F1E41"/>
    <w:rsid w:val="00126638"/>
    <w:rsid w:val="001311FF"/>
    <w:rsid w:val="00147957"/>
    <w:rsid w:val="00156C44"/>
    <w:rsid w:val="00165DB5"/>
    <w:rsid w:val="00174633"/>
    <w:rsid w:val="00195109"/>
    <w:rsid w:val="001B7702"/>
    <w:rsid w:val="001C15E5"/>
    <w:rsid w:val="001E0712"/>
    <w:rsid w:val="001F573E"/>
    <w:rsid w:val="001F5C0D"/>
    <w:rsid w:val="0020122E"/>
    <w:rsid w:val="00212D4C"/>
    <w:rsid w:val="00221B2E"/>
    <w:rsid w:val="00235CEA"/>
    <w:rsid w:val="002407F3"/>
    <w:rsid w:val="002654E8"/>
    <w:rsid w:val="002657F8"/>
    <w:rsid w:val="002B1555"/>
    <w:rsid w:val="002C2CB7"/>
    <w:rsid w:val="002E336B"/>
    <w:rsid w:val="002F047C"/>
    <w:rsid w:val="00326A50"/>
    <w:rsid w:val="00334011"/>
    <w:rsid w:val="0037054A"/>
    <w:rsid w:val="00397875"/>
    <w:rsid w:val="003A6892"/>
    <w:rsid w:val="003B7518"/>
    <w:rsid w:val="003F0134"/>
    <w:rsid w:val="003F69A4"/>
    <w:rsid w:val="00400AC3"/>
    <w:rsid w:val="00413B1A"/>
    <w:rsid w:val="00421B19"/>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B2387"/>
    <w:rsid w:val="006B4C6F"/>
    <w:rsid w:val="006B4D2F"/>
    <w:rsid w:val="006B5573"/>
    <w:rsid w:val="006C3FD7"/>
    <w:rsid w:val="006D1CA9"/>
    <w:rsid w:val="006E7FF4"/>
    <w:rsid w:val="006F23D4"/>
    <w:rsid w:val="00700ACB"/>
    <w:rsid w:val="007448F0"/>
    <w:rsid w:val="007634E4"/>
    <w:rsid w:val="0076399F"/>
    <w:rsid w:val="007C0F04"/>
    <w:rsid w:val="007D1CFC"/>
    <w:rsid w:val="007E48A6"/>
    <w:rsid w:val="007F1094"/>
    <w:rsid w:val="008117C1"/>
    <w:rsid w:val="00812FEE"/>
    <w:rsid w:val="0081588A"/>
    <w:rsid w:val="0083522B"/>
    <w:rsid w:val="00842425"/>
    <w:rsid w:val="0086485E"/>
    <w:rsid w:val="00885B8E"/>
    <w:rsid w:val="00890DFA"/>
    <w:rsid w:val="008D635A"/>
    <w:rsid w:val="008E6651"/>
    <w:rsid w:val="008F042C"/>
    <w:rsid w:val="008F1A69"/>
    <w:rsid w:val="008F5FD1"/>
    <w:rsid w:val="009123AB"/>
    <w:rsid w:val="009534BA"/>
    <w:rsid w:val="00955C3B"/>
    <w:rsid w:val="009B029D"/>
    <w:rsid w:val="009F618B"/>
    <w:rsid w:val="00A20C2F"/>
    <w:rsid w:val="00A21B4B"/>
    <w:rsid w:val="00A41555"/>
    <w:rsid w:val="00A52055"/>
    <w:rsid w:val="00A545E5"/>
    <w:rsid w:val="00A60F2C"/>
    <w:rsid w:val="00A90C89"/>
    <w:rsid w:val="00A92938"/>
    <w:rsid w:val="00A96FA8"/>
    <w:rsid w:val="00AD06C9"/>
    <w:rsid w:val="00AD4610"/>
    <w:rsid w:val="00AD47E9"/>
    <w:rsid w:val="00AE3901"/>
    <w:rsid w:val="00B007DC"/>
    <w:rsid w:val="00B057B9"/>
    <w:rsid w:val="00B25B24"/>
    <w:rsid w:val="00B44790"/>
    <w:rsid w:val="00B7382E"/>
    <w:rsid w:val="00BD14BF"/>
    <w:rsid w:val="00C65DC7"/>
    <w:rsid w:val="00C8145F"/>
    <w:rsid w:val="00C819CD"/>
    <w:rsid w:val="00C85F5E"/>
    <w:rsid w:val="00CA2116"/>
    <w:rsid w:val="00CC23B5"/>
    <w:rsid w:val="00CC32DC"/>
    <w:rsid w:val="00CD1A2A"/>
    <w:rsid w:val="00D0163B"/>
    <w:rsid w:val="00D80E50"/>
    <w:rsid w:val="00D82955"/>
    <w:rsid w:val="00DB4C4C"/>
    <w:rsid w:val="00DB5325"/>
    <w:rsid w:val="00DC4750"/>
    <w:rsid w:val="00E22642"/>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C258D"/>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1388205"/>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customStyle="1" w:styleId="AODocTxt">
    <w:name w:val="AODocTxt"/>
    <w:basedOn w:val="a"/>
    <w:rsid w:val="003A6892"/>
    <w:pPr>
      <w:numPr>
        <w:numId w:val="2"/>
      </w:numPr>
      <w:spacing w:before="240" w:line="260" w:lineRule="atLeast"/>
      <w:jc w:val="both"/>
    </w:pPr>
    <w:rPr>
      <w:rFonts w:ascii="Times New Roman" w:eastAsia="SimSun" w:hAnsi="Times New Roman"/>
      <w:sz w:val="22"/>
      <w:szCs w:val="22"/>
      <w:lang w:val="en-GB" w:eastAsia="en-US"/>
    </w:rPr>
  </w:style>
  <w:style w:type="paragraph" w:customStyle="1" w:styleId="AODocTxtL1">
    <w:name w:val="AODocTxtL1"/>
    <w:basedOn w:val="AODocTxt"/>
    <w:rsid w:val="003A6892"/>
    <w:pPr>
      <w:numPr>
        <w:ilvl w:val="1"/>
      </w:numPr>
      <w:tabs>
        <w:tab w:val="num" w:pos="360"/>
        <w:tab w:val="num" w:pos="1118"/>
      </w:tabs>
      <w:ind w:left="1118" w:hanging="360"/>
    </w:pPr>
  </w:style>
  <w:style w:type="paragraph" w:customStyle="1" w:styleId="AODocTxtL2">
    <w:name w:val="AODocTxtL2"/>
    <w:basedOn w:val="AODocTxt"/>
    <w:rsid w:val="003A6892"/>
    <w:pPr>
      <w:numPr>
        <w:ilvl w:val="2"/>
      </w:numPr>
      <w:tabs>
        <w:tab w:val="num" w:pos="360"/>
        <w:tab w:val="num" w:pos="1838"/>
      </w:tabs>
      <w:ind w:left="1838" w:hanging="180"/>
    </w:pPr>
  </w:style>
  <w:style w:type="paragraph" w:customStyle="1" w:styleId="AODocTxtL3">
    <w:name w:val="AODocTxtL3"/>
    <w:basedOn w:val="AODocTxt"/>
    <w:rsid w:val="003A6892"/>
    <w:pPr>
      <w:numPr>
        <w:ilvl w:val="3"/>
      </w:numPr>
      <w:tabs>
        <w:tab w:val="num" w:pos="360"/>
        <w:tab w:val="num" w:pos="2558"/>
      </w:tabs>
      <w:ind w:left="2558" w:hanging="360"/>
    </w:pPr>
  </w:style>
  <w:style w:type="paragraph" w:customStyle="1" w:styleId="AODocTxtL4">
    <w:name w:val="AODocTxtL4"/>
    <w:basedOn w:val="AODocTxt"/>
    <w:rsid w:val="003A6892"/>
    <w:pPr>
      <w:numPr>
        <w:ilvl w:val="4"/>
      </w:numPr>
      <w:tabs>
        <w:tab w:val="num" w:pos="360"/>
        <w:tab w:val="num" w:pos="3278"/>
      </w:tabs>
      <w:ind w:left="3278" w:hanging="360"/>
    </w:pPr>
  </w:style>
  <w:style w:type="paragraph" w:customStyle="1" w:styleId="AODocTxtL5">
    <w:name w:val="AODocTxtL5"/>
    <w:basedOn w:val="AODocTxt"/>
    <w:rsid w:val="003A6892"/>
    <w:pPr>
      <w:numPr>
        <w:ilvl w:val="5"/>
      </w:numPr>
      <w:tabs>
        <w:tab w:val="num" w:pos="360"/>
        <w:tab w:val="num" w:pos="3998"/>
      </w:tabs>
      <w:ind w:left="3998" w:hanging="180"/>
    </w:pPr>
  </w:style>
  <w:style w:type="paragraph" w:customStyle="1" w:styleId="AODocTxtL6">
    <w:name w:val="AODocTxtL6"/>
    <w:basedOn w:val="AODocTxt"/>
    <w:rsid w:val="003A6892"/>
    <w:pPr>
      <w:numPr>
        <w:ilvl w:val="6"/>
      </w:numPr>
      <w:tabs>
        <w:tab w:val="num" w:pos="360"/>
        <w:tab w:val="num" w:pos="4718"/>
      </w:tabs>
      <w:ind w:left="4718" w:hanging="360"/>
    </w:pPr>
  </w:style>
  <w:style w:type="paragraph" w:customStyle="1" w:styleId="AODocTxtL7">
    <w:name w:val="AODocTxtL7"/>
    <w:basedOn w:val="AODocTxt"/>
    <w:rsid w:val="003A6892"/>
    <w:pPr>
      <w:numPr>
        <w:ilvl w:val="7"/>
      </w:numPr>
      <w:tabs>
        <w:tab w:val="num" w:pos="360"/>
        <w:tab w:val="num" w:pos="5438"/>
      </w:tabs>
      <w:ind w:left="5438" w:hanging="360"/>
    </w:pPr>
  </w:style>
  <w:style w:type="paragraph" w:customStyle="1" w:styleId="AODocTxtL8">
    <w:name w:val="AODocTxtL8"/>
    <w:basedOn w:val="AODocTxt"/>
    <w:rsid w:val="003A6892"/>
    <w:pPr>
      <w:numPr>
        <w:ilvl w:val="8"/>
      </w:numPr>
      <w:tabs>
        <w:tab w:val="num" w:pos="360"/>
        <w:tab w:val="num" w:pos="6158"/>
      </w:tabs>
      <w:ind w:left="6158"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9706">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1620</TotalTime>
  <Pages>2</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13</cp:revision>
  <cp:lastPrinted>2016-09-20T13:16:00Z</cp:lastPrinted>
  <dcterms:created xsi:type="dcterms:W3CDTF">2019-11-26T06:50:00Z</dcterms:created>
  <dcterms:modified xsi:type="dcterms:W3CDTF">2020-02-18T13:05:00Z</dcterms:modified>
</cp:coreProperties>
</file>